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3CED" w14:textId="6FECBB16" w:rsidR="009256D9" w:rsidRPr="00B55935" w:rsidRDefault="009256D9" w:rsidP="009256D9">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E27EB9">
        <w:rPr>
          <w:rFonts w:ascii="Calibri" w:eastAsia="新細明體" w:hAnsi="Calibri" w:cs="Arial"/>
          <w:noProof w:val="0"/>
          <w:sz w:val="24"/>
          <w:szCs w:val="24"/>
          <w:lang w:eastAsia="ja-JP"/>
        </w:rPr>
        <w:t>#95-e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344442" w:rsidRPr="00344442">
        <w:rPr>
          <w:rFonts w:ascii="Calibri" w:eastAsia="新細明體" w:hAnsi="Calibri" w:cs="Arial"/>
          <w:noProof w:val="0"/>
          <w:sz w:val="24"/>
          <w:szCs w:val="24"/>
          <w:lang w:eastAsia="ja-JP"/>
        </w:rPr>
        <w:t>R4-2006576</w:t>
      </w:r>
    </w:p>
    <w:p w14:paraId="516827B0" w14:textId="48F4883B" w:rsidR="009256D9" w:rsidRDefault="00E27EB9" w:rsidP="009256D9">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2E8EFC71"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723515" w:rsidRPr="00723515">
        <w:rPr>
          <w:rFonts w:cs="Arial"/>
          <w:b/>
          <w:bCs/>
        </w:rPr>
        <w:t>6</w:t>
      </w:r>
      <w:r w:rsidR="00974EE8" w:rsidRPr="00723515">
        <w:rPr>
          <w:rFonts w:cs="Arial"/>
          <w:b/>
          <w:bCs/>
        </w:rPr>
        <w:t>.16.1.</w:t>
      </w:r>
      <w:r w:rsidR="00C14B44">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34AF5F5" w:rsidR="00174EC2" w:rsidRDefault="0034111C" w:rsidP="007A4FCF">
      <w:pPr>
        <w:ind w:left="1985" w:hanging="1985"/>
        <w:rPr>
          <w:rFonts w:cs="Arial"/>
          <w:b/>
          <w:bCs/>
        </w:rPr>
      </w:pPr>
      <w:r w:rsidRPr="000C45FD">
        <w:rPr>
          <w:rFonts w:cs="Arial"/>
          <w:b/>
          <w:bCs/>
        </w:rPr>
        <w:t>Title:</w:t>
      </w:r>
      <w:r w:rsidRPr="000C45FD">
        <w:rPr>
          <w:rFonts w:cs="Arial"/>
          <w:b/>
          <w:bCs/>
        </w:rPr>
        <w:tab/>
      </w:r>
      <w:r w:rsidR="00C14B44">
        <w:rPr>
          <w:rFonts w:cs="Arial"/>
          <w:b/>
          <w:bCs/>
        </w:rPr>
        <w:t>S</w:t>
      </w:r>
      <w:r w:rsidR="00C14B44" w:rsidRPr="00C14B44">
        <w:rPr>
          <w:rFonts w:cs="Arial"/>
          <w:b/>
          <w:bCs/>
        </w:rPr>
        <w:t>ynchronization assumption</w:t>
      </w:r>
      <w:r w:rsidR="00D63919" w:rsidRPr="00D63919">
        <w:rPr>
          <w:rFonts w:cs="Arial"/>
          <w:b/>
          <w:bCs/>
        </w:rPr>
        <w:t xml:space="preserve">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798EA33" w14:textId="4478C9FD" w:rsidR="00882F80" w:rsidRDefault="00621263"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the agreed</w:t>
      </w:r>
      <w:r w:rsidR="00CA75E5">
        <w:rPr>
          <w:rFonts w:asciiTheme="minorHAnsi" w:eastAsiaTheme="minorEastAsia" w:hAnsiTheme="minorHAnsi" w:cstheme="minorBidi"/>
          <w:color w:val="auto"/>
          <w:sz w:val="22"/>
          <w:szCs w:val="22"/>
        </w:rPr>
        <w:t xml:space="preserve"> WI [1]</w:t>
      </w:r>
      <w:r>
        <w:rPr>
          <w:rFonts w:asciiTheme="minorHAnsi" w:eastAsiaTheme="minorEastAsia" w:hAnsiTheme="minorHAnsi" w:cstheme="minorBidi"/>
          <w:color w:val="auto"/>
          <w:sz w:val="22"/>
          <w:szCs w:val="22"/>
        </w:rPr>
        <w:t>, one open issue is mentioned about the synchronization assumption.</w:t>
      </w:r>
    </w:p>
    <w:tbl>
      <w:tblPr>
        <w:tblStyle w:val="TableGrid"/>
        <w:tblW w:w="0" w:type="auto"/>
        <w:tblLook w:val="04A0" w:firstRow="1" w:lastRow="0" w:firstColumn="1" w:lastColumn="0" w:noHBand="0" w:noVBand="1"/>
      </w:tblPr>
      <w:tblGrid>
        <w:gridCol w:w="9629"/>
      </w:tblGrid>
      <w:tr w:rsidR="00882F80" w:rsidRPr="0090629E" w14:paraId="540E5A2D" w14:textId="77777777" w:rsidTr="00882F80">
        <w:tc>
          <w:tcPr>
            <w:tcW w:w="9629" w:type="dxa"/>
          </w:tcPr>
          <w:p w14:paraId="24B0A89D" w14:textId="61A8103A" w:rsidR="006230F7" w:rsidRDefault="00621263" w:rsidP="00BD754F">
            <w:pPr>
              <w:pStyle w:val="Default"/>
              <w:jc w:val="both"/>
              <w:rPr>
                <w:rFonts w:asciiTheme="minorHAnsi" w:eastAsiaTheme="minorEastAsia" w:hAnsiTheme="minorHAnsi" w:cstheme="minorBidi"/>
                <w:b/>
                <w:color w:val="auto"/>
                <w:sz w:val="18"/>
                <w:szCs w:val="22"/>
                <w:u w:val="single"/>
              </w:rPr>
            </w:pPr>
            <w:r w:rsidRPr="00621263">
              <w:rPr>
                <w:rFonts w:asciiTheme="minorHAnsi" w:eastAsiaTheme="minorEastAsia" w:hAnsiTheme="minorHAnsi" w:cstheme="minorBidi"/>
                <w:b/>
                <w:color w:val="auto"/>
                <w:sz w:val="18"/>
                <w:szCs w:val="22"/>
                <w:u w:val="single"/>
              </w:rPr>
              <w:t>WF on synchronization assumption for CSI-RS measurement</w:t>
            </w:r>
          </w:p>
          <w:p w14:paraId="171C7750" w14:textId="77777777" w:rsidR="00621263" w:rsidRPr="00621263" w:rsidRDefault="00621263" w:rsidP="00621263">
            <w:pPr>
              <w:pStyle w:val="Default"/>
              <w:numPr>
                <w:ilvl w:val="0"/>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For CSI-RS measurement without associated SSB, it depends on whether to define the requirement for this case.</w:t>
            </w:r>
          </w:p>
          <w:p w14:paraId="3A19E758" w14:textId="77777777" w:rsidR="00621263" w:rsidRPr="00621263" w:rsidRDefault="00621263" w:rsidP="00621263">
            <w:pPr>
              <w:pStyle w:val="Default"/>
              <w:numPr>
                <w:ilvl w:val="0"/>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For CSI-RS measurement with associated SSB,</w:t>
            </w:r>
          </w:p>
          <w:p w14:paraId="0ECCE60D" w14:textId="77777777" w:rsidR="00621263" w:rsidRPr="00621263"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Option 1: study this issue in performance part rather than work on the sync assumption in core part. (QC, MTK)</w:t>
            </w:r>
          </w:p>
          <w:p w14:paraId="65A23459" w14:textId="77777777" w:rsidR="00621263" w:rsidRPr="00621263"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Option 2: UE is assumed to use the timing of the detected SSB, and the CSI-RS measurement requirements is not conditioned on network synchronization. (Nokia, CATT, Huawei, CMCC)</w:t>
            </w:r>
          </w:p>
          <w:p w14:paraId="1ABF19F1" w14:textId="77777777" w:rsidR="00621263" w:rsidRPr="00621263"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Option 3: the timing error is less than [X]us, where X is 3~4us (DOCOMO)</w:t>
            </w:r>
          </w:p>
          <w:p w14:paraId="305303B3" w14:textId="77777777" w:rsidR="00621263" w:rsidRPr="00621263"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Option 4: MRTD value for intra-band CA can be reused</w:t>
            </w:r>
          </w:p>
          <w:p w14:paraId="7BC1B900" w14:textId="77777777" w:rsidR="00621263" w:rsidRPr="00621263"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rPr>
              <w:t>Option 5: less than CP length (LGE)</w:t>
            </w:r>
          </w:p>
          <w:p w14:paraId="441AD29B" w14:textId="51E32012" w:rsidR="00882F80" w:rsidRPr="0090629E" w:rsidRDefault="00621263" w:rsidP="00621263">
            <w:pPr>
              <w:pStyle w:val="Default"/>
              <w:numPr>
                <w:ilvl w:val="1"/>
                <w:numId w:val="35"/>
              </w:numPr>
              <w:jc w:val="both"/>
              <w:rPr>
                <w:rFonts w:asciiTheme="minorHAnsi" w:eastAsiaTheme="minorEastAsia" w:hAnsiTheme="minorHAnsi" w:cstheme="minorBidi"/>
                <w:color w:val="auto"/>
                <w:sz w:val="18"/>
                <w:szCs w:val="22"/>
              </w:rPr>
            </w:pPr>
            <w:r w:rsidRPr="00621263">
              <w:rPr>
                <w:rFonts w:asciiTheme="minorHAnsi" w:eastAsiaTheme="minorEastAsia" w:hAnsiTheme="minorHAnsi" w:cstheme="minorBidi"/>
                <w:color w:val="auto"/>
                <w:sz w:val="18"/>
                <w:szCs w:val="22"/>
                <w:lang w:eastAsia="zh-TW"/>
              </w:rPr>
              <w:t>Option 6: less than CP/2 length (Apple)</w:t>
            </w:r>
          </w:p>
        </w:tc>
      </w:tr>
    </w:tbl>
    <w:p w14:paraId="5E7E7A98" w14:textId="6E1FD6CC"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621263">
        <w:rPr>
          <w:rFonts w:asciiTheme="minorHAnsi" w:eastAsiaTheme="minorEastAsia" w:hAnsiTheme="minorHAnsi" w:cstheme="minorBidi"/>
          <w:color w:val="auto"/>
          <w:sz w:val="22"/>
          <w:szCs w:val="22"/>
        </w:rPr>
        <w:t>this open issue</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02BB98F8" w14:textId="629A9CFC" w:rsidR="000F2C5C" w:rsidRDefault="009B5952" w:rsidP="000F2C5C">
      <w:pPr>
        <w:pStyle w:val="Caption"/>
        <w:jc w:val="both"/>
        <w:rPr>
          <w:b w:val="0"/>
          <w:sz w:val="22"/>
          <w:szCs w:val="22"/>
        </w:rPr>
      </w:pPr>
      <w:r w:rsidRPr="009B5952">
        <w:rPr>
          <w:b w:val="0"/>
          <w:sz w:val="22"/>
          <w:szCs w:val="22"/>
        </w:rPr>
        <w:t>T</w:t>
      </w:r>
      <w:r>
        <w:rPr>
          <w:b w:val="0"/>
          <w:sz w:val="22"/>
          <w:szCs w:val="22"/>
        </w:rPr>
        <w:t>he very first thing to check is the WID.</w:t>
      </w:r>
    </w:p>
    <w:tbl>
      <w:tblPr>
        <w:tblStyle w:val="TableGrid"/>
        <w:tblW w:w="0" w:type="auto"/>
        <w:tblInd w:w="284" w:type="dxa"/>
        <w:tblLook w:val="04A0" w:firstRow="1" w:lastRow="0" w:firstColumn="1" w:lastColumn="0" w:noHBand="0" w:noVBand="1"/>
      </w:tblPr>
      <w:tblGrid>
        <w:gridCol w:w="9345"/>
      </w:tblGrid>
      <w:tr w:rsidR="009B5952" w14:paraId="58F403DF" w14:textId="77777777" w:rsidTr="009B5952">
        <w:tc>
          <w:tcPr>
            <w:tcW w:w="9629" w:type="dxa"/>
          </w:tcPr>
          <w:p w14:paraId="56DA8749" w14:textId="77777777" w:rsidR="009B5952" w:rsidRPr="009B5952" w:rsidRDefault="009B5952" w:rsidP="0012745D">
            <w:pPr>
              <w:spacing w:after="0"/>
              <w:jc w:val="both"/>
              <w:rPr>
                <w:rFonts w:eastAsia="SimSun"/>
                <w:sz w:val="18"/>
                <w:lang w:eastAsia="zh-CN"/>
              </w:rPr>
            </w:pPr>
            <w:r w:rsidRPr="009B5952">
              <w:rPr>
                <w:rFonts w:eastAsia="SimSun"/>
                <w:sz w:val="18"/>
                <w:lang w:eastAsia="zh-CN"/>
              </w:rPr>
              <w:t>T</w:t>
            </w:r>
            <w:r w:rsidRPr="009B5952">
              <w:rPr>
                <w:rFonts w:eastAsia="SimSun" w:hint="eastAsia"/>
                <w:sz w:val="18"/>
                <w:lang w:eastAsia="zh-CN"/>
              </w:rPr>
              <w:t>his new WID proposed to specify RRM requirements for CSI-RS based L3 measurements with the following aspects,</w:t>
            </w:r>
          </w:p>
          <w:p w14:paraId="1884CCE5"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Assumptions on Synchronization </w:t>
            </w:r>
          </w:p>
          <w:p w14:paraId="39B52AB5" w14:textId="77777777" w:rsidR="009B5952" w:rsidRPr="009B5952" w:rsidRDefault="009B5952" w:rsidP="0012745D">
            <w:pPr>
              <w:numPr>
                <w:ilvl w:val="1"/>
                <w:numId w:val="37"/>
              </w:numPr>
              <w:overflowPunct w:val="0"/>
              <w:autoSpaceDE w:val="0"/>
              <w:autoSpaceDN w:val="0"/>
              <w:adjustRightInd w:val="0"/>
              <w:spacing w:after="0" w:line="240" w:lineRule="auto"/>
              <w:textAlignment w:val="baseline"/>
              <w:rPr>
                <w:sz w:val="18"/>
                <w:lang w:eastAsia="ja-JP" w:bidi="hi-IN"/>
              </w:rPr>
            </w:pPr>
            <w:r w:rsidRPr="009B5952">
              <w:rPr>
                <w:sz w:val="18"/>
                <w:highlight w:val="yellow"/>
                <w:lang w:eastAsia="ja-JP" w:bidi="hi-IN"/>
              </w:rPr>
              <w:t>Single FFT is assumed for multiple cell measurements per frequency layer</w:t>
            </w:r>
            <w:r w:rsidRPr="009B5952">
              <w:rPr>
                <w:sz w:val="18"/>
                <w:lang w:eastAsia="ja-JP" w:bidi="hi-IN"/>
              </w:rPr>
              <w:t xml:space="preserve"> for both intra- and inter-frequency measurements.  </w:t>
            </w:r>
          </w:p>
          <w:p w14:paraId="76344076"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Measurement bandwidth of CSI-RS </w:t>
            </w:r>
            <w:r w:rsidRPr="009B5952">
              <w:rPr>
                <w:rFonts w:hint="eastAsia"/>
                <w:sz w:val="18"/>
                <w:lang w:eastAsia="zh-CN" w:bidi="hi-IN"/>
              </w:rPr>
              <w:t>for</w:t>
            </w:r>
            <w:r w:rsidRPr="009B5952">
              <w:rPr>
                <w:sz w:val="18"/>
                <w:lang w:eastAsia="ja-JP" w:bidi="hi-IN"/>
              </w:rPr>
              <w:t xml:space="preserve"> the minimum requirements</w:t>
            </w:r>
          </w:p>
          <w:p w14:paraId="4D99DF7C"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CSI-RS based intra-frequency and inter-frequency definition </w:t>
            </w:r>
          </w:p>
          <w:p w14:paraId="231F7230"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Intra-frequency and inter-frequency measurement requirements </w:t>
            </w:r>
          </w:p>
          <w:p w14:paraId="086C62A0"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Evaluate and specify CSI-RS based L3 measurement accuracy</w:t>
            </w:r>
          </w:p>
          <w:p w14:paraId="185A3D72" w14:textId="260E0DD9" w:rsidR="009B5952" w:rsidRPr="009B5952" w:rsidRDefault="009B5952" w:rsidP="0012745D">
            <w:pPr>
              <w:numPr>
                <w:ilvl w:val="0"/>
                <w:numId w:val="36"/>
              </w:numPr>
              <w:overflowPunct w:val="0"/>
              <w:autoSpaceDE w:val="0"/>
              <w:autoSpaceDN w:val="0"/>
              <w:adjustRightInd w:val="0"/>
              <w:spacing w:after="0" w:line="240" w:lineRule="auto"/>
              <w:textAlignment w:val="baseline"/>
              <w:rPr>
                <w:lang w:eastAsia="x-none"/>
              </w:rPr>
            </w:pPr>
            <w:r w:rsidRPr="009B5952">
              <w:rPr>
                <w:sz w:val="18"/>
                <w:lang w:eastAsia="ja-JP" w:bidi="hi-IN"/>
              </w:rPr>
              <w:t xml:space="preserve">Introduce new UE measurement capability, including number of frequency layer and number of cells etc., for CSI-RS based measurement </w:t>
            </w:r>
          </w:p>
        </w:tc>
      </w:tr>
    </w:tbl>
    <w:p w14:paraId="25E99C05" w14:textId="18404263" w:rsidR="00087E61" w:rsidRDefault="009B5952" w:rsidP="0012745D">
      <w:pPr>
        <w:spacing w:before="120"/>
        <w:jc w:val="both"/>
        <w:rPr>
          <w:lang w:val="x-none" w:eastAsia="x-none"/>
        </w:rPr>
      </w:pPr>
      <w:r>
        <w:rPr>
          <w:lang w:val="x-none" w:eastAsia="x-none"/>
        </w:rPr>
        <w:t>Single FFT is assumed in this whole WI and is to be used to measure all cells (including serving cell and all neighboring cells) in a frequency layer. Since single FFT is used to measure all cells</w:t>
      </w:r>
      <w:r w:rsidR="008E2FC7">
        <w:rPr>
          <w:lang w:val="x-none" w:eastAsia="x-none"/>
        </w:rPr>
        <w:t>,</w:t>
      </w:r>
      <w:r>
        <w:rPr>
          <w:lang w:val="x-none" w:eastAsia="x-none"/>
        </w:rPr>
        <w:t xml:space="preserve"> </w:t>
      </w:r>
      <w:r w:rsidR="008E2FC7">
        <w:rPr>
          <w:lang w:val="x-none" w:eastAsia="x-none"/>
        </w:rPr>
        <w:t>t</w:t>
      </w:r>
      <w:r>
        <w:rPr>
          <w:lang w:val="x-none" w:eastAsia="x-none"/>
        </w:rPr>
        <w:t xml:space="preserve">he </w:t>
      </w:r>
      <w:r w:rsidR="0012745D">
        <w:rPr>
          <w:lang w:val="x-none" w:eastAsia="x-none"/>
        </w:rPr>
        <w:t xml:space="preserve">single </w:t>
      </w:r>
      <w:r>
        <w:rPr>
          <w:lang w:val="x-none" w:eastAsia="x-none"/>
        </w:rPr>
        <w:t>FFT window t</w:t>
      </w:r>
      <w:r w:rsidR="0012745D">
        <w:rPr>
          <w:lang w:val="x-none" w:eastAsia="x-none"/>
        </w:rPr>
        <w:t>iming can only be optimized to all</w:t>
      </w:r>
      <w:r>
        <w:rPr>
          <w:lang w:val="x-none" w:eastAsia="x-none"/>
        </w:rPr>
        <w:t xml:space="preserve"> cell</w:t>
      </w:r>
      <w:r w:rsidR="0012745D">
        <w:rPr>
          <w:lang w:val="x-none" w:eastAsia="x-none"/>
        </w:rPr>
        <w:t>s</w:t>
      </w:r>
      <w:r>
        <w:rPr>
          <w:lang w:val="x-none" w:eastAsia="x-none"/>
        </w:rPr>
        <w:t xml:space="preserve">. </w:t>
      </w:r>
    </w:p>
    <w:p w14:paraId="04F02A9E" w14:textId="20F802C9" w:rsidR="008E2FC7" w:rsidRDefault="00087E61" w:rsidP="00087E61">
      <w:pPr>
        <w:pStyle w:val="ListParagraph"/>
        <w:numPr>
          <w:ilvl w:val="0"/>
          <w:numId w:val="38"/>
        </w:numPr>
        <w:jc w:val="both"/>
        <w:rPr>
          <w:lang w:val="x-none" w:eastAsia="x-none"/>
        </w:rPr>
      </w:pPr>
      <w:r>
        <w:rPr>
          <w:lang w:val="x-none" w:eastAsia="x-none"/>
        </w:rPr>
        <w:t>The</w:t>
      </w:r>
      <w:r w:rsidR="008E2FC7" w:rsidRPr="00087E61">
        <w:rPr>
          <w:lang w:val="x-none" w:eastAsia="x-none"/>
        </w:rPr>
        <w:t xml:space="preserve"> example for an int</w:t>
      </w:r>
      <w:r>
        <w:rPr>
          <w:lang w:val="x-none" w:eastAsia="x-none"/>
        </w:rPr>
        <w:t>ra</w:t>
      </w:r>
      <w:r w:rsidR="008E2FC7" w:rsidRPr="00087E61">
        <w:rPr>
          <w:lang w:val="x-none" w:eastAsia="x-none"/>
        </w:rPr>
        <w:t xml:space="preserve">-frequency layer </w:t>
      </w:r>
      <w:r w:rsidRPr="00087E61">
        <w:rPr>
          <w:lang w:val="x-none" w:eastAsia="x-none"/>
        </w:rPr>
        <w:t>with serving cell</w:t>
      </w:r>
      <w:r>
        <w:rPr>
          <w:lang w:val="x-none" w:eastAsia="x-none"/>
        </w:rPr>
        <w:t xml:space="preserve"> is</w:t>
      </w:r>
      <w:r w:rsidRPr="00087E61">
        <w:rPr>
          <w:lang w:val="x-none" w:eastAsia="x-none"/>
        </w:rPr>
        <w:t xml:space="preserve"> shown in </w:t>
      </w:r>
      <w:r w:rsidRPr="00087E61">
        <w:rPr>
          <w:lang w:val="x-none" w:eastAsia="x-none"/>
        </w:rPr>
        <w:fldChar w:fldCharType="begin"/>
      </w:r>
      <w:r w:rsidRPr="00087E61">
        <w:rPr>
          <w:lang w:val="x-none" w:eastAsia="x-none"/>
        </w:rPr>
        <w:instrText xml:space="preserve"> REF _Ref40048045 \h </w:instrText>
      </w:r>
      <w:r w:rsidRPr="00087E61">
        <w:rPr>
          <w:lang w:val="x-none" w:eastAsia="x-none"/>
        </w:rPr>
      </w:r>
      <w:r w:rsidRPr="00087E61">
        <w:rPr>
          <w:lang w:val="x-none" w:eastAsia="x-none"/>
        </w:rPr>
        <w:fldChar w:fldCharType="separate"/>
      </w:r>
      <w:r w:rsidR="00F70C09">
        <w:t xml:space="preserve">Figure </w:t>
      </w:r>
      <w:r w:rsidR="00F70C09">
        <w:rPr>
          <w:noProof/>
        </w:rPr>
        <w:t>1</w:t>
      </w:r>
      <w:r w:rsidRPr="00087E61">
        <w:rPr>
          <w:lang w:val="x-none" w:eastAsia="x-none"/>
        </w:rPr>
        <w:fldChar w:fldCharType="end"/>
      </w:r>
      <w:r w:rsidRPr="00087E61">
        <w:rPr>
          <w:lang w:val="x-none" w:eastAsia="x-none"/>
        </w:rPr>
        <w:t>(a). Since UE always has data from serving cell to receive, UE has no other choice but optimize t</w:t>
      </w:r>
      <w:r w:rsidR="0012745D">
        <w:rPr>
          <w:lang w:val="x-none" w:eastAsia="x-none"/>
        </w:rPr>
        <w:t>h</w:t>
      </w:r>
      <w:r w:rsidRPr="00087E61">
        <w:rPr>
          <w:lang w:val="x-none" w:eastAsia="x-none"/>
        </w:rPr>
        <w:t>is FFT window timing with respect to its serving cell. Otherwise the PDSCH decoding performance is compromised. In this case</w:t>
      </w:r>
      <w:r>
        <w:rPr>
          <w:lang w:val="x-none" w:eastAsia="x-none"/>
        </w:rPr>
        <w:t xml:space="preserve">, the </w:t>
      </w:r>
      <w:r w:rsidR="00BC12CE">
        <w:rPr>
          <w:lang w:val="x-none" w:eastAsia="x-none"/>
        </w:rPr>
        <w:t xml:space="preserve">single </w:t>
      </w:r>
      <w:r>
        <w:rPr>
          <w:lang w:val="x-none" w:eastAsia="x-none"/>
        </w:rPr>
        <w:t>FFT window cannot perfectly cover the signal</w:t>
      </w:r>
      <w:r w:rsidR="00CC5EB5">
        <w:rPr>
          <w:lang w:val="x-none" w:eastAsia="x-none"/>
        </w:rPr>
        <w:t>s</w:t>
      </w:r>
      <w:r>
        <w:rPr>
          <w:lang w:val="x-none" w:eastAsia="x-none"/>
        </w:rPr>
        <w:t xml:space="preserve"> from </w:t>
      </w:r>
      <w:r w:rsidR="001039F6">
        <w:rPr>
          <w:lang w:val="x-none" w:eastAsia="x-none"/>
        </w:rPr>
        <w:t xml:space="preserve">all </w:t>
      </w:r>
      <w:r>
        <w:rPr>
          <w:lang w:val="x-none" w:eastAsia="x-none"/>
        </w:rPr>
        <w:t>neighboring cells</w:t>
      </w:r>
      <w:r w:rsidR="001039F6">
        <w:rPr>
          <w:lang w:val="x-none" w:eastAsia="x-none"/>
        </w:rPr>
        <w:t xml:space="preserve"> which comes earlier or later.</w:t>
      </w:r>
    </w:p>
    <w:p w14:paraId="64159316" w14:textId="60A6FA70" w:rsidR="008E2FC7" w:rsidRPr="00087E61" w:rsidRDefault="00087E61" w:rsidP="00757052">
      <w:pPr>
        <w:pStyle w:val="ListParagraph"/>
        <w:numPr>
          <w:ilvl w:val="0"/>
          <w:numId w:val="38"/>
        </w:numPr>
        <w:jc w:val="both"/>
        <w:rPr>
          <w:lang w:val="x-none" w:eastAsia="x-none"/>
        </w:rPr>
      </w:pPr>
      <w:r w:rsidRPr="00087E61">
        <w:rPr>
          <w:lang w:val="x-none" w:eastAsia="x-none"/>
        </w:rPr>
        <w:t xml:space="preserve">The example for an inter-frequency layer without serving cell is shown in </w:t>
      </w:r>
      <w:r w:rsidRPr="00087E61">
        <w:rPr>
          <w:lang w:val="x-none" w:eastAsia="x-none"/>
        </w:rPr>
        <w:fldChar w:fldCharType="begin"/>
      </w:r>
      <w:r w:rsidRPr="00087E61">
        <w:rPr>
          <w:lang w:val="x-none" w:eastAsia="x-none"/>
        </w:rPr>
        <w:instrText xml:space="preserve"> REF _Ref40048045 \h </w:instrText>
      </w:r>
      <w:r w:rsidRPr="00087E61">
        <w:rPr>
          <w:lang w:val="x-none" w:eastAsia="x-none"/>
        </w:rPr>
      </w:r>
      <w:r w:rsidRPr="00087E61">
        <w:rPr>
          <w:lang w:val="x-none" w:eastAsia="x-none"/>
        </w:rPr>
        <w:fldChar w:fldCharType="separate"/>
      </w:r>
      <w:r w:rsidR="00F70C09">
        <w:t xml:space="preserve">Figure </w:t>
      </w:r>
      <w:r w:rsidR="00F70C09">
        <w:rPr>
          <w:noProof/>
        </w:rPr>
        <w:t>1</w:t>
      </w:r>
      <w:r w:rsidRPr="00087E61">
        <w:rPr>
          <w:lang w:val="x-none" w:eastAsia="x-none"/>
        </w:rPr>
        <w:fldChar w:fldCharType="end"/>
      </w:r>
      <w:r w:rsidRPr="00087E61">
        <w:rPr>
          <w:lang w:val="x-none" w:eastAsia="x-none"/>
        </w:rPr>
        <w:t>(b). Since UE has to select one single FFT timing to performance measurement, e</w:t>
      </w:r>
      <w:r w:rsidR="001039F6">
        <w:rPr>
          <w:lang w:val="x-none" w:eastAsia="x-none"/>
        </w:rPr>
        <w:t>.</w:t>
      </w:r>
      <w:r w:rsidRPr="00087E61">
        <w:rPr>
          <w:lang w:val="x-none" w:eastAsia="x-none"/>
        </w:rPr>
        <w:t xml:space="preserve">g., align with the strongest neighboring cell. In this case, the </w:t>
      </w:r>
      <w:r w:rsidR="00075995">
        <w:rPr>
          <w:lang w:val="x-none" w:eastAsia="x-none"/>
        </w:rPr>
        <w:t xml:space="preserve">single </w:t>
      </w:r>
      <w:r w:rsidRPr="00087E61">
        <w:rPr>
          <w:lang w:val="x-none" w:eastAsia="x-none"/>
        </w:rPr>
        <w:t>FFT window cannot perfectly cover the signal</w:t>
      </w:r>
      <w:r w:rsidR="00CC5EB5">
        <w:rPr>
          <w:lang w:val="x-none" w:eastAsia="x-none"/>
        </w:rPr>
        <w:t>s</w:t>
      </w:r>
      <w:r w:rsidRPr="00087E61">
        <w:rPr>
          <w:lang w:val="x-none" w:eastAsia="x-none"/>
        </w:rPr>
        <w:t xml:space="preserve"> from </w:t>
      </w:r>
      <w:r w:rsidR="00CC5EB5">
        <w:rPr>
          <w:lang w:val="x-none" w:eastAsia="x-none"/>
        </w:rPr>
        <w:t xml:space="preserve">all </w:t>
      </w:r>
      <w:r w:rsidRPr="00087E61">
        <w:rPr>
          <w:lang w:val="x-none" w:eastAsia="x-none"/>
        </w:rPr>
        <w:t xml:space="preserve">neighboring cells. </w:t>
      </w:r>
    </w:p>
    <w:p w14:paraId="2AB8A855" w14:textId="77777777" w:rsidR="008E2FC7" w:rsidRDefault="008E2FC7" w:rsidP="008E2FC7">
      <w:pPr>
        <w:jc w:val="both"/>
        <w:rPr>
          <w:lang w:val="x-none" w:eastAsia="x-none"/>
        </w:rPr>
      </w:pPr>
    </w:p>
    <w:p w14:paraId="0A058CBC" w14:textId="2EDA18B7" w:rsidR="008E2FC7" w:rsidRDefault="00087E61" w:rsidP="008E2FC7">
      <w:pPr>
        <w:jc w:val="both"/>
        <w:rPr>
          <w:lang w:val="x-none" w:eastAsia="x-none"/>
        </w:rPr>
      </w:pPr>
      <w:r w:rsidRPr="00087E61">
        <w:rPr>
          <w:noProof/>
        </w:rPr>
        <w:lastRenderedPageBreak/>
        <w:drawing>
          <wp:inline distT="0" distB="0" distL="0" distR="0" wp14:anchorId="6FC5399B" wp14:editId="6D8AF405">
            <wp:extent cx="6120765" cy="18799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879918"/>
                    </a:xfrm>
                    <a:prstGeom prst="rect">
                      <a:avLst/>
                    </a:prstGeom>
                    <a:noFill/>
                    <a:ln>
                      <a:noFill/>
                    </a:ln>
                  </pic:spPr>
                </pic:pic>
              </a:graphicData>
            </a:graphic>
          </wp:inline>
        </w:drawing>
      </w:r>
    </w:p>
    <w:p w14:paraId="22C3BDA7" w14:textId="551D4772" w:rsidR="00087E61" w:rsidRDefault="00087E61" w:rsidP="00087E61">
      <w:pPr>
        <w:pStyle w:val="Caption"/>
        <w:jc w:val="center"/>
      </w:pPr>
      <w:bookmarkStart w:id="1" w:name="_Ref40048045"/>
      <w:r>
        <w:t xml:space="preserve">Figure </w:t>
      </w:r>
      <w:r w:rsidR="001E72A4">
        <w:rPr>
          <w:noProof/>
        </w:rPr>
        <w:fldChar w:fldCharType="begin"/>
      </w:r>
      <w:r w:rsidR="001E72A4">
        <w:rPr>
          <w:noProof/>
        </w:rPr>
        <w:instrText xml:space="preserve"> SEQ Figure \* ARABIC </w:instrText>
      </w:r>
      <w:r w:rsidR="001E72A4">
        <w:rPr>
          <w:noProof/>
        </w:rPr>
        <w:fldChar w:fldCharType="separate"/>
      </w:r>
      <w:r w:rsidR="00F70C09">
        <w:rPr>
          <w:noProof/>
        </w:rPr>
        <w:t>1</w:t>
      </w:r>
      <w:r w:rsidR="001E72A4">
        <w:rPr>
          <w:noProof/>
        </w:rPr>
        <w:fldChar w:fldCharType="end"/>
      </w:r>
      <w:bookmarkEnd w:id="1"/>
      <w:r>
        <w:t>. Two examples on how UE may determine its FFT window</w:t>
      </w:r>
    </w:p>
    <w:p w14:paraId="70DC357C" w14:textId="6A12E9EE" w:rsidR="00087E61" w:rsidRDefault="00C81DFC" w:rsidP="00C81DFC">
      <w:pPr>
        <w:pStyle w:val="Caption"/>
      </w:pPr>
      <w:bookmarkStart w:id="2" w:name="_Ref40049099"/>
      <w:r>
        <w:t xml:space="preserve">Observation </w:t>
      </w:r>
      <w:r w:rsidR="001E72A4">
        <w:rPr>
          <w:noProof/>
        </w:rPr>
        <w:fldChar w:fldCharType="begin"/>
      </w:r>
      <w:r w:rsidR="001E72A4">
        <w:rPr>
          <w:noProof/>
        </w:rPr>
        <w:instrText xml:space="preserve"> SEQ Observation \* ARABIC </w:instrText>
      </w:r>
      <w:r w:rsidR="001E72A4">
        <w:rPr>
          <w:noProof/>
        </w:rPr>
        <w:fldChar w:fldCharType="separate"/>
      </w:r>
      <w:r w:rsidR="00F70C09">
        <w:rPr>
          <w:noProof/>
        </w:rPr>
        <w:t>1</w:t>
      </w:r>
      <w:r w:rsidR="001E72A4">
        <w:rPr>
          <w:noProof/>
        </w:rPr>
        <w:fldChar w:fldCharType="end"/>
      </w:r>
      <w:r>
        <w:t xml:space="preserve">: According to WID, UE is required to use single FFT </w:t>
      </w:r>
      <w:r w:rsidR="002A33C1">
        <w:t xml:space="preserve">window </w:t>
      </w:r>
      <w:r>
        <w:t>to measure all cells in one frequency layer.</w:t>
      </w:r>
      <w:bookmarkEnd w:id="2"/>
      <w:r w:rsidR="00F3562C">
        <w:t xml:space="preserve"> This single FFT window timing cannot be optimal for all neighboring cells.</w:t>
      </w:r>
    </w:p>
    <w:p w14:paraId="3AC60127" w14:textId="77777777" w:rsidR="00C81DFC" w:rsidRPr="00C81DFC" w:rsidRDefault="00C81DFC" w:rsidP="00C81DFC">
      <w:pPr>
        <w:rPr>
          <w:lang w:val="x-none" w:eastAsia="x-none"/>
        </w:rPr>
      </w:pPr>
    </w:p>
    <w:p w14:paraId="686845B8" w14:textId="638EB8AB" w:rsidR="009B5952" w:rsidRDefault="00087E61" w:rsidP="008E2FC7">
      <w:pPr>
        <w:jc w:val="both"/>
        <w:rPr>
          <w:lang w:val="x-none" w:eastAsia="x-none"/>
        </w:rPr>
      </w:pPr>
      <w:r>
        <w:rPr>
          <w:lang w:val="x-none" w:eastAsia="x-none"/>
        </w:rPr>
        <w:t>This a real issue UE needs to face</w:t>
      </w:r>
      <w:r w:rsidR="009B5952">
        <w:rPr>
          <w:lang w:val="x-none" w:eastAsia="x-none"/>
        </w:rPr>
        <w:t>.</w:t>
      </w:r>
      <w:r w:rsidR="008E2FC7">
        <w:rPr>
          <w:lang w:val="x-none" w:eastAsia="x-none"/>
        </w:rPr>
        <w:t xml:space="preserve"> One </w:t>
      </w:r>
      <w:r>
        <w:rPr>
          <w:lang w:val="x-none" w:eastAsia="x-none"/>
        </w:rPr>
        <w:t>evidence</w:t>
      </w:r>
      <w:r w:rsidR="008E2FC7">
        <w:rPr>
          <w:lang w:val="x-none" w:eastAsia="x-none"/>
        </w:rPr>
        <w:t xml:space="preserve"> is to compare the 3us cell phase synchronization requirement with the CP length of different numerologies (</w:t>
      </w:r>
      <w:r w:rsidR="008E2FC7">
        <w:rPr>
          <w:lang w:val="x-none" w:eastAsia="x-none"/>
        </w:rPr>
        <w:fldChar w:fldCharType="begin"/>
      </w:r>
      <w:r w:rsidR="008E2FC7">
        <w:rPr>
          <w:lang w:val="x-none" w:eastAsia="x-none"/>
        </w:rPr>
        <w:instrText xml:space="preserve"> REF _Ref40047350 \h </w:instrText>
      </w:r>
      <w:r w:rsidR="008E2FC7">
        <w:rPr>
          <w:lang w:val="x-none" w:eastAsia="x-none"/>
        </w:rPr>
      </w:r>
      <w:r w:rsidR="008E2FC7">
        <w:rPr>
          <w:lang w:val="x-none" w:eastAsia="x-none"/>
        </w:rPr>
        <w:fldChar w:fldCharType="separate"/>
      </w:r>
      <w:r w:rsidR="00F70C09">
        <w:t xml:space="preserve">Table </w:t>
      </w:r>
      <w:r w:rsidR="00F70C09">
        <w:rPr>
          <w:noProof/>
        </w:rPr>
        <w:t>1</w:t>
      </w:r>
      <w:r w:rsidR="008E2FC7">
        <w:rPr>
          <w:lang w:val="x-none" w:eastAsia="x-none"/>
        </w:rPr>
        <w:fldChar w:fldCharType="end"/>
      </w:r>
      <w:r w:rsidR="008E2FC7">
        <w:rPr>
          <w:lang w:val="x-none" w:eastAsia="x-none"/>
        </w:rPr>
        <w:t xml:space="preserve">). We can see that even without considering the difference in propagation delay, the CP lengths of </w:t>
      </w:r>
      <w:r w:rsidR="00C81DFC">
        <w:rPr>
          <w:lang w:val="x-none" w:eastAsia="x-none"/>
        </w:rPr>
        <w:t xml:space="preserve">SCS </w:t>
      </w:r>
      <w:r w:rsidR="008E2FC7">
        <w:rPr>
          <w:lang w:val="x-none" w:eastAsia="x-none"/>
        </w:rPr>
        <w:t>30KHz, 60KHz and 120KHz may already be insufficient to cover the timing difference between signals from 2 Cells.</w:t>
      </w:r>
    </w:p>
    <w:p w14:paraId="4C99C903" w14:textId="18705661" w:rsidR="009B5952" w:rsidRDefault="009B5952" w:rsidP="009B5952">
      <w:pPr>
        <w:pStyle w:val="Caption"/>
        <w:jc w:val="center"/>
      </w:pPr>
      <w:bookmarkStart w:id="3" w:name="_Ref40047350"/>
      <w:r>
        <w:t xml:space="preserve">Table </w:t>
      </w:r>
      <w:r w:rsidR="001E72A4">
        <w:rPr>
          <w:noProof/>
        </w:rPr>
        <w:fldChar w:fldCharType="begin"/>
      </w:r>
      <w:r w:rsidR="001E72A4">
        <w:rPr>
          <w:noProof/>
        </w:rPr>
        <w:instrText xml:space="preserve"> SEQ Table \* ARABIC </w:instrText>
      </w:r>
      <w:r w:rsidR="001E72A4">
        <w:rPr>
          <w:noProof/>
        </w:rPr>
        <w:fldChar w:fldCharType="separate"/>
      </w:r>
      <w:r w:rsidR="00F70C09">
        <w:rPr>
          <w:noProof/>
        </w:rPr>
        <w:t>1</w:t>
      </w:r>
      <w:r w:rsidR="001E72A4">
        <w:rPr>
          <w:noProof/>
        </w:rPr>
        <w:fldChar w:fldCharType="end"/>
      </w:r>
      <w:bookmarkEnd w:id="3"/>
      <w:r>
        <w:t xml:space="preserve"> </w:t>
      </w:r>
      <w:r w:rsidR="008E2FC7">
        <w:t>symbol duration for different SCS</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1304"/>
        <w:gridCol w:w="1304"/>
        <w:gridCol w:w="1304"/>
        <w:gridCol w:w="1304"/>
      </w:tblGrid>
      <w:tr w:rsidR="008E2FC7" w:rsidRPr="009B5952" w14:paraId="4A1BF8D3" w14:textId="77777777" w:rsidTr="008E2FC7">
        <w:trPr>
          <w:trHeight w:val="372"/>
          <w:jc w:val="center"/>
        </w:trPr>
        <w:tc>
          <w:tcPr>
            <w:tcW w:w="1304" w:type="dxa"/>
            <w:shd w:val="clear" w:color="auto" w:fill="auto"/>
            <w:vAlign w:val="center"/>
            <w:hideMark/>
          </w:tcPr>
          <w:p w14:paraId="0049A351" w14:textId="617DF6D1"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SCS</w:t>
            </w:r>
            <w:r w:rsidR="008E2FC7">
              <w:rPr>
                <w:rFonts w:eastAsia="新細明體" w:cs="新細明體"/>
                <w:color w:val="000000"/>
                <w:szCs w:val="28"/>
              </w:rPr>
              <w:t xml:space="preserve"> (KHz)</w:t>
            </w:r>
          </w:p>
        </w:tc>
        <w:tc>
          <w:tcPr>
            <w:tcW w:w="1304" w:type="dxa"/>
            <w:shd w:val="clear" w:color="auto" w:fill="auto"/>
            <w:vAlign w:val="center"/>
            <w:hideMark/>
          </w:tcPr>
          <w:p w14:paraId="240B1B9E"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15</w:t>
            </w:r>
          </w:p>
        </w:tc>
        <w:tc>
          <w:tcPr>
            <w:tcW w:w="1304" w:type="dxa"/>
            <w:shd w:val="clear" w:color="auto" w:fill="auto"/>
            <w:vAlign w:val="center"/>
            <w:hideMark/>
          </w:tcPr>
          <w:p w14:paraId="592F30EC"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30</w:t>
            </w:r>
          </w:p>
        </w:tc>
        <w:tc>
          <w:tcPr>
            <w:tcW w:w="1304" w:type="dxa"/>
            <w:shd w:val="clear" w:color="auto" w:fill="auto"/>
            <w:vAlign w:val="center"/>
            <w:hideMark/>
          </w:tcPr>
          <w:p w14:paraId="0274C2A0"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60</w:t>
            </w:r>
          </w:p>
        </w:tc>
        <w:tc>
          <w:tcPr>
            <w:tcW w:w="1304" w:type="dxa"/>
            <w:shd w:val="clear" w:color="auto" w:fill="auto"/>
            <w:vAlign w:val="center"/>
            <w:hideMark/>
          </w:tcPr>
          <w:p w14:paraId="545B3563"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120</w:t>
            </w:r>
          </w:p>
        </w:tc>
      </w:tr>
      <w:tr w:rsidR="008E2FC7" w:rsidRPr="009B5952" w14:paraId="509D2C88" w14:textId="77777777" w:rsidTr="008E2FC7">
        <w:trPr>
          <w:trHeight w:val="372"/>
          <w:jc w:val="center"/>
        </w:trPr>
        <w:tc>
          <w:tcPr>
            <w:tcW w:w="1304" w:type="dxa"/>
            <w:shd w:val="clear" w:color="auto" w:fill="auto"/>
            <w:vAlign w:val="center"/>
          </w:tcPr>
          <w:p w14:paraId="0882C31E" w14:textId="61326779" w:rsidR="008E2FC7" w:rsidRPr="009B5952" w:rsidRDefault="008E2FC7" w:rsidP="009B5952">
            <w:pPr>
              <w:spacing w:after="0"/>
              <w:jc w:val="center"/>
              <w:rPr>
                <w:rFonts w:eastAsia="新細明體" w:cs="新細明體"/>
                <w:color w:val="000000"/>
                <w:szCs w:val="28"/>
              </w:rPr>
            </w:pPr>
            <w:r>
              <w:rPr>
                <w:rFonts w:eastAsia="新細明體" w:cs="新細明體"/>
                <w:color w:val="000000"/>
                <w:szCs w:val="28"/>
              </w:rPr>
              <w:t>CP length (us)</w:t>
            </w:r>
          </w:p>
        </w:tc>
        <w:tc>
          <w:tcPr>
            <w:tcW w:w="1304" w:type="dxa"/>
            <w:shd w:val="clear" w:color="auto" w:fill="auto"/>
            <w:vAlign w:val="center"/>
          </w:tcPr>
          <w:p w14:paraId="1B8408A1" w14:textId="65B8678B" w:rsidR="008E2FC7" w:rsidRPr="009B5952" w:rsidRDefault="008E2FC7" w:rsidP="009B5952">
            <w:pPr>
              <w:spacing w:after="0"/>
              <w:jc w:val="center"/>
              <w:rPr>
                <w:rFonts w:eastAsia="新細明體" w:cs="新細明體"/>
                <w:color w:val="000000"/>
                <w:szCs w:val="28"/>
              </w:rPr>
            </w:pPr>
            <w:r>
              <w:rPr>
                <w:rFonts w:eastAsia="新細明體" w:cs="新細明體"/>
                <w:color w:val="000000"/>
                <w:szCs w:val="28"/>
              </w:rPr>
              <w:t>4.7</w:t>
            </w:r>
          </w:p>
        </w:tc>
        <w:tc>
          <w:tcPr>
            <w:tcW w:w="1304" w:type="dxa"/>
            <w:shd w:val="clear" w:color="auto" w:fill="auto"/>
            <w:vAlign w:val="center"/>
          </w:tcPr>
          <w:p w14:paraId="334BBAD7" w14:textId="6E69307C"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2.35</w:t>
            </w:r>
          </w:p>
        </w:tc>
        <w:tc>
          <w:tcPr>
            <w:tcW w:w="1304" w:type="dxa"/>
            <w:shd w:val="clear" w:color="auto" w:fill="auto"/>
            <w:vAlign w:val="center"/>
          </w:tcPr>
          <w:p w14:paraId="7B4BA657" w14:textId="547601F4"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1.18</w:t>
            </w:r>
          </w:p>
        </w:tc>
        <w:tc>
          <w:tcPr>
            <w:tcW w:w="1304" w:type="dxa"/>
            <w:shd w:val="clear" w:color="auto" w:fill="auto"/>
            <w:vAlign w:val="center"/>
          </w:tcPr>
          <w:p w14:paraId="20394873" w14:textId="4E35BFB0"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0.59</w:t>
            </w:r>
          </w:p>
        </w:tc>
      </w:tr>
    </w:tbl>
    <w:p w14:paraId="763B2947" w14:textId="77777777" w:rsidR="00087E61" w:rsidRDefault="00087E61" w:rsidP="009B5952">
      <w:pPr>
        <w:rPr>
          <w:lang w:eastAsia="x-none"/>
        </w:rPr>
      </w:pPr>
    </w:p>
    <w:p w14:paraId="2C216C31" w14:textId="258BC9C6" w:rsidR="00C81DFC" w:rsidRDefault="00C81DFC" w:rsidP="00C81DFC">
      <w:pPr>
        <w:pStyle w:val="Caption"/>
      </w:pPr>
      <w:bookmarkStart w:id="4" w:name="_Ref40049101"/>
      <w:r>
        <w:t xml:space="preserve">Observation </w:t>
      </w:r>
      <w:r>
        <w:fldChar w:fldCharType="begin"/>
      </w:r>
      <w:r>
        <w:instrText xml:space="preserve"> SEQ Observation \* ARABIC </w:instrText>
      </w:r>
      <w:r>
        <w:fldChar w:fldCharType="separate"/>
      </w:r>
      <w:r w:rsidR="00F70C09">
        <w:rPr>
          <w:noProof/>
        </w:rPr>
        <w:t>2</w:t>
      </w:r>
      <w:r>
        <w:fldChar w:fldCharType="end"/>
      </w:r>
      <w:r>
        <w:t>: The cell phase synchronization error is already larger than the CP length of SCS 30KHz, 60KHz and 120KHz, even without considering the difference due to propagation delay.</w:t>
      </w:r>
      <w:bookmarkEnd w:id="4"/>
    </w:p>
    <w:p w14:paraId="52523B15" w14:textId="77777777" w:rsidR="00C81DFC" w:rsidRPr="00087E61" w:rsidRDefault="00C81DFC" w:rsidP="009B5952">
      <w:pPr>
        <w:rPr>
          <w:lang w:eastAsia="x-none"/>
        </w:rPr>
      </w:pPr>
    </w:p>
    <w:p w14:paraId="6DF87258" w14:textId="77777777" w:rsidR="00F70C09" w:rsidRDefault="00087E61" w:rsidP="00C81DFC">
      <w:pPr>
        <w:spacing w:after="0"/>
        <w:jc w:val="both"/>
        <w:rPr>
          <w:lang w:eastAsia="x-none"/>
        </w:rPr>
      </w:pPr>
      <w:r>
        <w:rPr>
          <w:lang w:eastAsia="x-none"/>
        </w:rPr>
        <w:t xml:space="preserve">Given that the cell deployment is already determined in R15, we believe that UE </w:t>
      </w:r>
      <w:r w:rsidR="00C81DFC">
        <w:rPr>
          <w:lang w:eastAsia="x-none"/>
        </w:rPr>
        <w:t>will always</w:t>
      </w:r>
      <w:r>
        <w:rPr>
          <w:lang w:eastAsia="x-none"/>
        </w:rPr>
        <w:t xml:space="preserve"> receive some CSI-RS of which the timing difference to UE’s serving cell is larger than CP/2. </w:t>
      </w:r>
      <w:r w:rsidR="00C81DFC">
        <w:rPr>
          <w:lang w:eastAsia="x-none"/>
        </w:rPr>
        <w:t xml:space="preserve">We do not think it makes much sense to limit the timing difference </w:t>
      </w:r>
      <w:r w:rsidR="00F3562C">
        <w:rPr>
          <w:lang w:eastAsia="x-none"/>
        </w:rPr>
        <w:t xml:space="preserve">that </w:t>
      </w:r>
      <w:r w:rsidR="00C81DFC">
        <w:rPr>
          <w:lang w:eastAsia="x-none"/>
        </w:rPr>
        <w:t xml:space="preserve">UE needs to handle because the inter-gNB distance and the cell phase synchronization requirement will not be further reduced due to the introduction of CSI-RS for L3 measurement. </w:t>
      </w:r>
    </w:p>
    <w:p w14:paraId="7E0C3C5A" w14:textId="77777777" w:rsidR="00F70C09" w:rsidRDefault="00F70C09" w:rsidP="00F70C09">
      <w:pPr>
        <w:pStyle w:val="Caption"/>
      </w:pPr>
      <w:bookmarkStart w:id="5" w:name="_Ref40049103"/>
      <w:r>
        <w:t xml:space="preserve">Observation </w:t>
      </w:r>
      <w:r>
        <w:fldChar w:fldCharType="begin"/>
      </w:r>
      <w:r>
        <w:instrText xml:space="preserve"> SEQ Observation \* ARABIC </w:instrText>
      </w:r>
      <w:r>
        <w:fldChar w:fldCharType="separate"/>
      </w:r>
      <w:r>
        <w:rPr>
          <w:noProof/>
        </w:rPr>
        <w:t>3</w:t>
      </w:r>
      <w:r>
        <w:fldChar w:fldCharType="end"/>
      </w:r>
      <w:r>
        <w:t>: Inter-gNB distance and the cell phase synchronization requirement were determined in R15 and will not be further reduced due to the introduction of CSI-RS for L3 measurement.</w:t>
      </w:r>
      <w:bookmarkEnd w:id="5"/>
    </w:p>
    <w:p w14:paraId="26771864" w14:textId="77777777" w:rsidR="00F70C09" w:rsidRPr="00F70C09" w:rsidRDefault="00F70C09" w:rsidP="00C81DFC">
      <w:pPr>
        <w:spacing w:after="0"/>
        <w:jc w:val="both"/>
        <w:rPr>
          <w:lang w:val="x-none" w:eastAsia="x-none"/>
        </w:rPr>
      </w:pPr>
    </w:p>
    <w:p w14:paraId="63FE7D48" w14:textId="7BC26A68" w:rsidR="00087E61" w:rsidRDefault="00C81DFC" w:rsidP="00C81DFC">
      <w:pPr>
        <w:spacing w:after="0"/>
        <w:jc w:val="both"/>
        <w:rPr>
          <w:lang w:eastAsia="x-none"/>
        </w:rPr>
      </w:pPr>
      <w:r>
        <w:rPr>
          <w:lang w:eastAsia="x-none"/>
        </w:rPr>
        <w:t xml:space="preserve">A more pragmatic way is to address this issue in the accuracy requirement. RAN4 can </w:t>
      </w:r>
      <w:r w:rsidR="00087E61">
        <w:rPr>
          <w:lang w:eastAsia="x-none"/>
        </w:rPr>
        <w:t xml:space="preserve">investigate how large the degradation would be and discuss whether to specify multiple requirements for those CSI-RS with large receive timing difference to </w:t>
      </w:r>
      <w:r>
        <w:rPr>
          <w:lang w:eastAsia="x-none"/>
        </w:rPr>
        <w:t>UE’s FFT timing</w:t>
      </w:r>
      <w:r w:rsidR="00087E61">
        <w:rPr>
          <w:lang w:eastAsia="x-none"/>
        </w:rPr>
        <w:t xml:space="preserve">. It is still FFS at this moment that how many </w:t>
      </w:r>
      <w:r w:rsidR="00F70C09">
        <w:rPr>
          <w:lang w:eastAsia="x-none"/>
        </w:rPr>
        <w:t xml:space="preserve">accuracy </w:t>
      </w:r>
      <w:r w:rsidR="00087E61">
        <w:rPr>
          <w:lang w:eastAsia="x-none"/>
        </w:rPr>
        <w:t xml:space="preserve">requirements are needed for different timing differences (D), e.g., </w:t>
      </w:r>
    </w:p>
    <w:p w14:paraId="35192366" w14:textId="77777777" w:rsidR="00087E61" w:rsidRDefault="00087E61" w:rsidP="00C81DFC">
      <w:pPr>
        <w:spacing w:after="0"/>
        <w:ind w:left="568"/>
        <w:rPr>
          <w:lang w:eastAsia="x-none"/>
        </w:rPr>
      </w:pPr>
      <w:r>
        <w:rPr>
          <w:rFonts w:hint="eastAsia"/>
          <w:lang w:eastAsia="x-none"/>
        </w:rPr>
        <w:t>•</w:t>
      </w:r>
      <w:r>
        <w:rPr>
          <w:lang w:eastAsia="x-none"/>
        </w:rPr>
        <w:tab/>
        <w:t xml:space="preserve">D &lt; CP/2, </w:t>
      </w:r>
    </w:p>
    <w:p w14:paraId="206FDDA4" w14:textId="77777777" w:rsidR="00087E61" w:rsidRDefault="00087E61" w:rsidP="00C81DFC">
      <w:pPr>
        <w:spacing w:after="0"/>
        <w:ind w:left="568"/>
        <w:rPr>
          <w:lang w:eastAsia="x-none"/>
        </w:rPr>
      </w:pPr>
      <w:r>
        <w:rPr>
          <w:rFonts w:hint="eastAsia"/>
          <w:lang w:eastAsia="x-none"/>
        </w:rPr>
        <w:t>•</w:t>
      </w:r>
      <w:r>
        <w:rPr>
          <w:rFonts w:hint="eastAsia"/>
          <w:lang w:eastAsia="x-none"/>
        </w:rPr>
        <w:tab/>
        <w:t xml:space="preserve">CP/2 &lt; D </w:t>
      </w:r>
      <w:r>
        <w:rPr>
          <w:rFonts w:hint="eastAsia"/>
          <w:lang w:eastAsia="x-none"/>
        </w:rPr>
        <w:t>≤</w:t>
      </w:r>
      <w:r>
        <w:rPr>
          <w:rFonts w:hint="eastAsia"/>
          <w:lang w:eastAsia="x-none"/>
        </w:rPr>
        <w:t xml:space="preserve"> CP, </w:t>
      </w:r>
    </w:p>
    <w:p w14:paraId="7E96B165" w14:textId="77777777" w:rsidR="00087E61" w:rsidRDefault="00087E61" w:rsidP="00C81DFC">
      <w:pPr>
        <w:spacing w:after="0"/>
        <w:ind w:left="568"/>
        <w:rPr>
          <w:lang w:eastAsia="x-none"/>
        </w:rPr>
      </w:pPr>
      <w:r>
        <w:rPr>
          <w:rFonts w:hint="eastAsia"/>
          <w:lang w:eastAsia="x-none"/>
        </w:rPr>
        <w:t>•</w:t>
      </w:r>
      <w:r>
        <w:rPr>
          <w:rFonts w:hint="eastAsia"/>
          <w:lang w:eastAsia="x-none"/>
        </w:rPr>
        <w:tab/>
        <w:t xml:space="preserve">CP </w:t>
      </w:r>
      <w:r>
        <w:rPr>
          <w:rFonts w:hint="eastAsia"/>
          <w:lang w:eastAsia="x-none"/>
        </w:rPr>
        <w:t>≤</w:t>
      </w:r>
      <w:r>
        <w:rPr>
          <w:rFonts w:hint="eastAsia"/>
          <w:lang w:eastAsia="x-none"/>
        </w:rPr>
        <w:t xml:space="preserve"> D &lt; 2*CP, </w:t>
      </w:r>
    </w:p>
    <w:p w14:paraId="76206134" w14:textId="77777777" w:rsidR="00087E61" w:rsidRDefault="00087E61" w:rsidP="00C81DFC">
      <w:pPr>
        <w:spacing w:after="120"/>
        <w:ind w:left="568"/>
        <w:rPr>
          <w:lang w:eastAsia="x-none"/>
        </w:rPr>
      </w:pPr>
      <w:r>
        <w:rPr>
          <w:rFonts w:hint="eastAsia"/>
          <w:lang w:eastAsia="x-none"/>
        </w:rPr>
        <w:t>•</w:t>
      </w:r>
      <w:r>
        <w:rPr>
          <w:rFonts w:hint="eastAsia"/>
          <w:lang w:eastAsia="x-none"/>
        </w:rPr>
        <w:tab/>
        <w:t xml:space="preserve">D </w:t>
      </w:r>
      <w:r>
        <w:rPr>
          <w:rFonts w:hint="eastAsia"/>
          <w:lang w:eastAsia="x-none"/>
        </w:rPr>
        <w:t>≥</w:t>
      </w:r>
      <w:r>
        <w:rPr>
          <w:rFonts w:hint="eastAsia"/>
          <w:lang w:eastAsia="x-none"/>
        </w:rPr>
        <w:t xml:space="preserve"> 2*CP. </w:t>
      </w:r>
    </w:p>
    <w:p w14:paraId="4AFCCE75" w14:textId="2F5E305E" w:rsidR="00087E61" w:rsidRPr="00C81DFC" w:rsidRDefault="00C81DFC" w:rsidP="00C81DFC">
      <w:pPr>
        <w:pStyle w:val="Caption"/>
      </w:pPr>
      <w:bookmarkStart w:id="6" w:name="_Ref40049105"/>
      <w:r>
        <w:t xml:space="preserve">Proposal </w:t>
      </w:r>
      <w:r w:rsidR="001E72A4">
        <w:rPr>
          <w:noProof/>
        </w:rPr>
        <w:fldChar w:fldCharType="begin"/>
      </w:r>
      <w:r w:rsidR="001E72A4">
        <w:rPr>
          <w:noProof/>
        </w:rPr>
        <w:instrText xml:space="preserve"> SEQ Proposal \* ARABIC </w:instrText>
      </w:r>
      <w:r w:rsidR="001E72A4">
        <w:rPr>
          <w:noProof/>
        </w:rPr>
        <w:fldChar w:fldCharType="separate"/>
      </w:r>
      <w:r w:rsidR="00F70C09">
        <w:rPr>
          <w:noProof/>
        </w:rPr>
        <w:t>1</w:t>
      </w:r>
      <w:r w:rsidR="001E72A4">
        <w:rPr>
          <w:noProof/>
        </w:rPr>
        <w:fldChar w:fldCharType="end"/>
      </w:r>
      <w:r>
        <w:t>: RAN4 to address the issue of timing difference between the arrival of the CSI-RS and UE’s FFT timing in the performance part, rather than limit the applicable condition in core part.</w:t>
      </w:r>
      <w:bookmarkEnd w:id="6"/>
    </w:p>
    <w:p w14:paraId="21AF9809" w14:textId="77777777" w:rsidR="009B5952" w:rsidRPr="009B5952" w:rsidRDefault="009B5952" w:rsidP="009B5952">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22156591"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discuss the </w:t>
      </w:r>
      <w:r w:rsidR="00C81DFC">
        <w:t>synchronization assumption</w:t>
      </w:r>
      <w:r w:rsidR="00CB0B1A">
        <w:t xml:space="preserve"> for L3 CSI-RS. We have the following observations and proposals.</w:t>
      </w:r>
    </w:p>
    <w:p w14:paraId="7F54A9CF" w14:textId="0156CBA6" w:rsidR="00C81DFC"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_Ref40049099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F70C09" w:rsidRPr="00F70C09">
        <w:rPr>
          <w:b/>
          <w:sz w:val="20"/>
          <w:szCs w:val="20"/>
          <w:lang w:val="x-none" w:eastAsia="x-none"/>
        </w:rPr>
        <w:t xml:space="preserve">Observation 1: According to WID, UE is required to use single FFT window to measure all cells in one frequency </w:t>
      </w:r>
      <w:r w:rsidR="00F70C09">
        <w:t>layer.</w:t>
      </w:r>
      <w:r w:rsidRPr="00C81DFC">
        <w:rPr>
          <w:b/>
          <w:sz w:val="20"/>
          <w:szCs w:val="20"/>
          <w:lang w:val="x-none" w:eastAsia="x-none"/>
        </w:rPr>
        <w:fldChar w:fldCharType="end"/>
      </w:r>
    </w:p>
    <w:p w14:paraId="133B4CFF" w14:textId="79CF4F8E" w:rsidR="00C81DFC"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_Ref40049101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F70C09" w:rsidRPr="00F70C09">
        <w:rPr>
          <w:b/>
          <w:sz w:val="20"/>
          <w:szCs w:val="20"/>
          <w:lang w:val="x-none" w:eastAsia="x-none"/>
        </w:rPr>
        <w:t>Observation 2: The cell phase synchronization error is already larger than the CP length of SCS 30KHz, 60KHz and 120KHz, even without considering the difference due to propagation delay.</w:t>
      </w:r>
      <w:r w:rsidRPr="00C81DFC">
        <w:rPr>
          <w:b/>
          <w:sz w:val="20"/>
          <w:szCs w:val="20"/>
          <w:lang w:val="x-none" w:eastAsia="x-none"/>
        </w:rPr>
        <w:fldChar w:fldCharType="end"/>
      </w:r>
    </w:p>
    <w:p w14:paraId="21E541F7" w14:textId="212BF9E4" w:rsidR="00C81DFC"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_Ref40049103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F70C09" w:rsidRPr="00F70C09">
        <w:rPr>
          <w:b/>
          <w:sz w:val="20"/>
          <w:szCs w:val="20"/>
          <w:lang w:val="x-none" w:eastAsia="x-none"/>
        </w:rPr>
        <w:t xml:space="preserve">Observation </w:t>
      </w:r>
      <w:r w:rsidR="00F70C09" w:rsidRPr="00F70C09">
        <w:rPr>
          <w:b/>
          <w:sz w:val="20"/>
          <w:szCs w:val="20"/>
          <w:lang w:val="x-none" w:eastAsia="x-none"/>
        </w:rPr>
        <w:t>3</w:t>
      </w:r>
      <w:r w:rsidR="00F70C09" w:rsidRPr="00F70C09">
        <w:rPr>
          <w:b/>
          <w:sz w:val="20"/>
          <w:szCs w:val="20"/>
          <w:lang w:val="x-none" w:eastAsia="x-none"/>
        </w:rPr>
        <w:t>: Inter-gNB distance and the cell phase synchronization requirement were determined in R15 and will not be further reduced due to the introduction of CSI-RS for L3 measurement.</w:t>
      </w:r>
      <w:r w:rsidRPr="00C81DFC">
        <w:rPr>
          <w:b/>
          <w:sz w:val="20"/>
          <w:szCs w:val="20"/>
          <w:lang w:val="x-none" w:eastAsia="x-none"/>
        </w:rPr>
        <w:fldChar w:fldCharType="end"/>
      </w:r>
    </w:p>
    <w:p w14:paraId="47602993" w14:textId="2F1E7639" w:rsidR="00F65F68"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_Ref40049105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F70C09" w:rsidRPr="00F70C09">
        <w:rPr>
          <w:b/>
          <w:sz w:val="20"/>
          <w:szCs w:val="20"/>
          <w:lang w:val="x-none" w:eastAsia="x-none"/>
        </w:rPr>
        <w:t>Proposal 1: RAN4 to address the issue of timing difference between the arrival of the CSI-RS and UE’s FFT timing in the performance part, rather than limit the applicable condition in core part.</w:t>
      </w:r>
      <w:r w:rsidRPr="00C81DFC">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5905FE54" w:rsidR="003C022F"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3C022F" w:rsidRPr="003C022F">
        <w:rPr>
          <w:sz w:val="20"/>
          <w:lang w:eastAsia="ko-KR"/>
        </w:rPr>
        <w:t>R4-2005355</w:t>
      </w:r>
      <w:r w:rsidR="003C022F">
        <w:rPr>
          <w:sz w:val="20"/>
          <w:lang w:eastAsia="ko-KR"/>
        </w:rPr>
        <w:t>, “</w:t>
      </w:r>
      <w:r w:rsidR="003C022F" w:rsidRPr="003C022F">
        <w:rPr>
          <w:sz w:val="20"/>
          <w:lang w:eastAsia="ko-KR"/>
        </w:rPr>
        <w:t>WF on CSI-RS configuration and intra/inter-frequency measurements definition for CSI-RS based L3 measurement</w:t>
      </w:r>
      <w:r w:rsidR="003C022F">
        <w:rPr>
          <w:sz w:val="20"/>
          <w:lang w:eastAsia="ko-KR"/>
        </w:rPr>
        <w:t>”, CATT</w:t>
      </w:r>
    </w:p>
    <w:bookmarkEnd w:id="0"/>
    <w:p w14:paraId="411E3085" w14:textId="77777777" w:rsidR="009B5952" w:rsidRDefault="009B5952">
      <w:pPr>
        <w:overflowPunct w:val="0"/>
        <w:autoSpaceDE w:val="0"/>
        <w:autoSpaceDN w:val="0"/>
        <w:adjustRightInd w:val="0"/>
        <w:textAlignment w:val="baseline"/>
        <w:rPr>
          <w:sz w:val="20"/>
          <w:lang w:eastAsia="ko-KR"/>
        </w:rPr>
      </w:pPr>
    </w:p>
    <w:sectPr w:rsidR="009B595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71A9E" w14:textId="77777777" w:rsidR="001E72A4" w:rsidRDefault="001E72A4">
      <w:r>
        <w:separator/>
      </w:r>
    </w:p>
  </w:endnote>
  <w:endnote w:type="continuationSeparator" w:id="0">
    <w:p w14:paraId="2B59A3BD" w14:textId="77777777" w:rsidR="001E72A4" w:rsidRDefault="001E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E3C0B" w14:textId="77777777" w:rsidR="001E72A4" w:rsidRDefault="001E72A4">
      <w:r>
        <w:separator/>
      </w:r>
    </w:p>
  </w:footnote>
  <w:footnote w:type="continuationSeparator" w:id="0">
    <w:p w14:paraId="5627AA2C" w14:textId="77777777" w:rsidR="001E72A4" w:rsidRDefault="001E7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21BBE"/>
    <w:multiLevelType w:val="hybridMultilevel"/>
    <w:tmpl w:val="0E7E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72EBF"/>
    <w:multiLevelType w:val="hybridMultilevel"/>
    <w:tmpl w:val="120C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0"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3"/>
  </w:num>
  <w:num w:numId="4">
    <w:abstractNumId w:val="1"/>
  </w:num>
  <w:num w:numId="5">
    <w:abstractNumId w:val="16"/>
  </w:num>
  <w:num w:numId="6">
    <w:abstractNumId w:val="28"/>
  </w:num>
  <w:num w:numId="7">
    <w:abstractNumId w:val="22"/>
  </w:num>
  <w:num w:numId="8">
    <w:abstractNumId w:val="33"/>
  </w:num>
  <w:num w:numId="9">
    <w:abstractNumId w:val="26"/>
  </w:num>
  <w:num w:numId="10">
    <w:abstractNumId w:val="0"/>
  </w:num>
  <w:num w:numId="11">
    <w:abstractNumId w:val="11"/>
  </w:num>
  <w:num w:numId="12">
    <w:abstractNumId w:val="29"/>
  </w:num>
  <w:num w:numId="13">
    <w:abstractNumId w:val="37"/>
  </w:num>
  <w:num w:numId="14">
    <w:abstractNumId w:val="35"/>
  </w:num>
  <w:num w:numId="15">
    <w:abstractNumId w:val="14"/>
  </w:num>
  <w:num w:numId="16">
    <w:abstractNumId w:val="24"/>
  </w:num>
  <w:num w:numId="17">
    <w:abstractNumId w:val="2"/>
  </w:num>
  <w:num w:numId="18">
    <w:abstractNumId w:val="13"/>
  </w:num>
  <w:num w:numId="19">
    <w:abstractNumId w:val="27"/>
  </w:num>
  <w:num w:numId="20">
    <w:abstractNumId w:val="15"/>
  </w:num>
  <w:num w:numId="21">
    <w:abstractNumId w:val="20"/>
  </w:num>
  <w:num w:numId="22">
    <w:abstractNumId w:val="12"/>
  </w:num>
  <w:num w:numId="23">
    <w:abstractNumId w:val="4"/>
  </w:num>
  <w:num w:numId="24">
    <w:abstractNumId w:val="31"/>
  </w:num>
  <w:num w:numId="25">
    <w:abstractNumId w:val="10"/>
  </w:num>
  <w:num w:numId="26">
    <w:abstractNumId w:val="6"/>
  </w:num>
  <w:num w:numId="27">
    <w:abstractNumId w:val="23"/>
  </w:num>
  <w:num w:numId="28">
    <w:abstractNumId w:val="8"/>
  </w:num>
  <w:num w:numId="29">
    <w:abstractNumId w:val="36"/>
  </w:num>
  <w:num w:numId="30">
    <w:abstractNumId w:val="5"/>
  </w:num>
  <w:num w:numId="31">
    <w:abstractNumId w:val="34"/>
  </w:num>
  <w:num w:numId="32">
    <w:abstractNumId w:val="18"/>
  </w:num>
  <w:num w:numId="33">
    <w:abstractNumId w:val="17"/>
  </w:num>
  <w:num w:numId="34">
    <w:abstractNumId w:val="30"/>
  </w:num>
  <w:num w:numId="35">
    <w:abstractNumId w:val="7"/>
  </w:num>
  <w:num w:numId="36">
    <w:abstractNumId w:val="21"/>
  </w:num>
  <w:num w:numId="37">
    <w:abstractNumId w:val="25"/>
  </w:num>
  <w:num w:numId="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995"/>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87E61"/>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9F6"/>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45D"/>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DD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00"/>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2A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3C1"/>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442"/>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263"/>
    <w:rsid w:val="0062164D"/>
    <w:rsid w:val="00621770"/>
    <w:rsid w:val="006218C7"/>
    <w:rsid w:val="00621DFE"/>
    <w:rsid w:val="0062215F"/>
    <w:rsid w:val="00622702"/>
    <w:rsid w:val="0062286A"/>
    <w:rsid w:val="00622F66"/>
    <w:rsid w:val="006230F7"/>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2FC7"/>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952"/>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2CE"/>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B44"/>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DFC"/>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5EB5"/>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A68"/>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562C"/>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0C09"/>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442"/>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444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4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6051">
      <w:bodyDiv w:val="1"/>
      <w:marLeft w:val="0"/>
      <w:marRight w:val="0"/>
      <w:marTop w:val="0"/>
      <w:marBottom w:val="0"/>
      <w:divBdr>
        <w:top w:val="none" w:sz="0" w:space="0" w:color="auto"/>
        <w:left w:val="none" w:sz="0" w:space="0" w:color="auto"/>
        <w:bottom w:val="none" w:sz="0" w:space="0" w:color="auto"/>
        <w:right w:val="none" w:sz="0" w:space="0" w:color="auto"/>
      </w:divBdr>
      <w:divsChild>
        <w:div w:id="90664094">
          <w:marLeft w:val="547"/>
          <w:marRight w:val="0"/>
          <w:marTop w:val="115"/>
          <w:marBottom w:val="0"/>
          <w:divBdr>
            <w:top w:val="none" w:sz="0" w:space="0" w:color="auto"/>
            <w:left w:val="none" w:sz="0" w:space="0" w:color="auto"/>
            <w:bottom w:val="none" w:sz="0" w:space="0" w:color="auto"/>
            <w:right w:val="none" w:sz="0" w:space="0" w:color="auto"/>
          </w:divBdr>
        </w:div>
        <w:div w:id="1971009679">
          <w:marLeft w:val="547"/>
          <w:marRight w:val="0"/>
          <w:marTop w:val="115"/>
          <w:marBottom w:val="0"/>
          <w:divBdr>
            <w:top w:val="none" w:sz="0" w:space="0" w:color="auto"/>
            <w:left w:val="none" w:sz="0" w:space="0" w:color="auto"/>
            <w:bottom w:val="none" w:sz="0" w:space="0" w:color="auto"/>
            <w:right w:val="none" w:sz="0" w:space="0" w:color="auto"/>
          </w:divBdr>
        </w:div>
        <w:div w:id="1665813832">
          <w:marLeft w:val="1166"/>
          <w:marRight w:val="0"/>
          <w:marTop w:val="96"/>
          <w:marBottom w:val="0"/>
          <w:divBdr>
            <w:top w:val="none" w:sz="0" w:space="0" w:color="auto"/>
            <w:left w:val="none" w:sz="0" w:space="0" w:color="auto"/>
            <w:bottom w:val="none" w:sz="0" w:space="0" w:color="auto"/>
            <w:right w:val="none" w:sz="0" w:space="0" w:color="auto"/>
          </w:divBdr>
        </w:div>
        <w:div w:id="861016945">
          <w:marLeft w:val="1166"/>
          <w:marRight w:val="0"/>
          <w:marTop w:val="96"/>
          <w:marBottom w:val="0"/>
          <w:divBdr>
            <w:top w:val="none" w:sz="0" w:space="0" w:color="auto"/>
            <w:left w:val="none" w:sz="0" w:space="0" w:color="auto"/>
            <w:bottom w:val="none" w:sz="0" w:space="0" w:color="auto"/>
            <w:right w:val="none" w:sz="0" w:space="0" w:color="auto"/>
          </w:divBdr>
        </w:div>
        <w:div w:id="1281841483">
          <w:marLeft w:val="1166"/>
          <w:marRight w:val="0"/>
          <w:marTop w:val="96"/>
          <w:marBottom w:val="0"/>
          <w:divBdr>
            <w:top w:val="none" w:sz="0" w:space="0" w:color="auto"/>
            <w:left w:val="none" w:sz="0" w:space="0" w:color="auto"/>
            <w:bottom w:val="none" w:sz="0" w:space="0" w:color="auto"/>
            <w:right w:val="none" w:sz="0" w:space="0" w:color="auto"/>
          </w:divBdr>
        </w:div>
        <w:div w:id="756907205">
          <w:marLeft w:val="1166"/>
          <w:marRight w:val="0"/>
          <w:marTop w:val="96"/>
          <w:marBottom w:val="0"/>
          <w:divBdr>
            <w:top w:val="none" w:sz="0" w:space="0" w:color="auto"/>
            <w:left w:val="none" w:sz="0" w:space="0" w:color="auto"/>
            <w:bottom w:val="none" w:sz="0" w:space="0" w:color="auto"/>
            <w:right w:val="none" w:sz="0" w:space="0" w:color="auto"/>
          </w:divBdr>
        </w:div>
        <w:div w:id="1931967330">
          <w:marLeft w:val="1166"/>
          <w:marRight w:val="0"/>
          <w:marTop w:val="96"/>
          <w:marBottom w:val="0"/>
          <w:divBdr>
            <w:top w:val="none" w:sz="0" w:space="0" w:color="auto"/>
            <w:left w:val="none" w:sz="0" w:space="0" w:color="auto"/>
            <w:bottom w:val="none" w:sz="0" w:space="0" w:color="auto"/>
            <w:right w:val="none" w:sz="0" w:space="0" w:color="auto"/>
          </w:divBdr>
        </w:div>
        <w:div w:id="1049453255">
          <w:marLeft w:val="1166"/>
          <w:marRight w:val="0"/>
          <w:marTop w:val="96"/>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D2DE-BF5E-4436-B059-6A21D596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2020-05-15T05:04:00Z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